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line="100" w:lineRule="atLeast"/>
        <w:jc w:val="right"/>
      </w:pPr>
      <w:r>
        <w:rPr>
          <w:rFonts w:ascii="Times New Roman" w:cs="Times New Roman" w:hAnsi="Times New Roman"/>
          <w:b/>
          <w:i/>
          <w:sz w:val="28"/>
          <w:szCs w:val="28"/>
        </w:rPr>
        <w:t>Бурлака О.В.</w:t>
      </w:r>
    </w:p>
    <w:p>
      <w:pPr>
        <w:pStyle w:val="style0"/>
        <w:spacing w:line="100" w:lineRule="atLeast"/>
        <w:jc w:val="right"/>
      </w:pPr>
      <w:r>
        <w:rPr>
          <w:rFonts w:ascii="Times New Roman" w:cs="Times New Roman" w:hAnsi="Times New Roman"/>
          <w:b/>
          <w:i/>
          <w:sz w:val="28"/>
          <w:szCs w:val="28"/>
        </w:rPr>
        <w:t>м. Ки</w:t>
      </w:r>
      <w:r>
        <w:rPr>
          <w:rFonts w:ascii="Times New Roman" w:cs="Times New Roman" w:hAnsi="Times New Roman"/>
          <w:b/>
          <w:i/>
          <w:sz w:val="28"/>
          <w:szCs w:val="28"/>
          <w:lang w:val="uk-UA"/>
        </w:rPr>
        <w:t>їв</w:t>
      </w:r>
    </w:p>
    <w:p>
      <w:pPr>
        <w:pStyle w:val="style0"/>
        <w:spacing w:line="360" w:lineRule="auto"/>
        <w:jc w:val="center"/>
      </w:pPr>
      <w:r>
        <w:rPr>
          <w:rFonts w:ascii="Times New Roman" w:cs="Times New Roman" w:hAnsi="Times New Roman"/>
          <w:b/>
          <w:sz w:val="28"/>
          <w:szCs w:val="28"/>
        </w:rPr>
        <w:t xml:space="preserve">ЕКОНОМІЧНИЙ АСПЕКТ </w:t>
      </w:r>
      <w:r>
        <w:rPr>
          <w:rFonts w:ascii="Times New Roman" w:cs="Times New Roman" w:hAnsi="Times New Roman"/>
          <w:b/>
          <w:sz w:val="28"/>
          <w:szCs w:val="28"/>
          <w:lang w:val="uk-UA"/>
        </w:rPr>
        <w:t xml:space="preserve">У </w:t>
      </w:r>
      <w:r>
        <w:rPr>
          <w:rFonts w:ascii="Times New Roman" w:cs="Times New Roman" w:hAnsi="Times New Roman"/>
          <w:b/>
          <w:sz w:val="28"/>
          <w:szCs w:val="28"/>
        </w:rPr>
        <w:t>ЗАБЕЗПЕЧЕННІ ІНФОРМАЦІЙНОЇ БЕЗПЕКИ</w:t>
      </w:r>
    </w:p>
    <w:p>
      <w:pPr>
        <w:pStyle w:val="style0"/>
        <w:spacing w:after="0" w:before="0" w:line="360" w:lineRule="auto"/>
        <w:ind w:firstLine="709" w:left="0" w:right="0"/>
        <w:jc w:val="both"/>
      </w:pPr>
      <w:r>
        <w:rPr>
          <w:rFonts w:ascii="Times New Roman" w:hAnsi="Times New Roman"/>
          <w:sz w:val="28"/>
          <w:szCs w:val="28"/>
          <w:lang w:val="uk-UA"/>
        </w:rPr>
        <w:t xml:space="preserve">На сьогоднішній день неможливо уявити управлінську діяльність без документообігу, основою якого є інформація. Останнім часом серед сучасних компаній усе більшої популярності набуває електронний документообіг. Це дає можливість спостерігати наступну закономірність: нарощування та збільшення кількості інформаційних потоків – прямо пропорційне зростанню самої організації. </w:t>
      </w:r>
    </w:p>
    <w:p>
      <w:pPr>
        <w:pStyle w:val="style0"/>
        <w:spacing w:after="0" w:before="0" w:line="360" w:lineRule="auto"/>
        <w:ind w:firstLine="709" w:left="0" w:right="0"/>
        <w:jc w:val="both"/>
      </w:pPr>
      <w:r>
        <w:rPr>
          <w:rFonts w:ascii="Times New Roman" w:hAnsi="Times New Roman"/>
          <w:sz w:val="28"/>
          <w:szCs w:val="28"/>
          <w:lang w:val="uk-UA"/>
        </w:rPr>
        <w:t>Навіть на найменших підприємствах доводиться переробляти набагато більший обсяг інформації, ніж здається на перший погляд. Саме тому з підвищенням значущості і цінності інформації, з якою працюють, зростає важливість її захисту.</w:t>
      </w:r>
    </w:p>
    <w:p>
      <w:pPr>
        <w:pStyle w:val="style0"/>
        <w:spacing w:after="0" w:before="0" w:line="360" w:lineRule="auto"/>
        <w:ind w:firstLine="709" w:left="0" w:right="0"/>
        <w:jc w:val="both"/>
      </w:pPr>
      <w:r>
        <w:rPr>
          <w:rFonts w:ascii="Times New Roman" w:hAnsi="Times New Roman"/>
          <w:sz w:val="28"/>
          <w:szCs w:val="28"/>
          <w:lang w:val="uk-UA"/>
        </w:rPr>
        <w:t xml:space="preserve">Кожна самостійна компанія намагається захистити себе від «небажаних спостерігачів» та загалом від витоку конфіденційної інформації. Частіше за все акцентується увага на правовому, технічному або соціальному аспекті забезпечення інформаційної безпеки. Але необхідно пам’ятати, що будь-який захист потребує відповідного фінансування. </w:t>
      </w:r>
    </w:p>
    <w:p>
      <w:pPr>
        <w:pStyle w:val="style0"/>
        <w:spacing w:after="0" w:before="0" w:line="360" w:lineRule="auto"/>
        <w:ind w:firstLine="709" w:left="0" w:right="0"/>
        <w:jc w:val="both"/>
      </w:pPr>
      <w:r>
        <w:rPr>
          <w:rFonts w:ascii="Times New Roman" w:cs="Times New Roman" w:hAnsi="Times New Roman"/>
          <w:sz w:val="28"/>
          <w:szCs w:val="28"/>
          <w:lang w:val="uk-UA"/>
        </w:rPr>
        <w:t xml:space="preserve">Для організації важливим є чітке розуміння цінності інформації. Адже, збитки можна понести як від недостатньої захищеності інформаційно-комунікаційних потоків, так і від  надмірних капіталовкладень у захист інформації, яка того не варта. Затрати на інформаційну безпеку мають відповідати кінцевому результату, а саме ефекту повної захищеності даних компанії. </w:t>
      </w:r>
    </w:p>
    <w:p>
      <w:pPr>
        <w:pStyle w:val="style0"/>
        <w:spacing w:after="0" w:before="0" w:line="360" w:lineRule="auto"/>
        <w:ind w:firstLine="709" w:left="0" w:right="0"/>
        <w:jc w:val="both"/>
      </w:pPr>
      <w:r>
        <w:rPr>
          <w:rFonts w:ascii="Times New Roman" w:cs="Times New Roman" w:hAnsi="Times New Roman"/>
          <w:sz w:val="28"/>
          <w:szCs w:val="28"/>
          <w:lang w:val="uk-UA"/>
        </w:rPr>
        <w:t xml:space="preserve">Усі організації мають свій життєвий цикл, який зазвичай складається з наступних етапів: зародження, зростання, зрілість, старіння та відродження. Відповідно, кожна стадія потребує різного рівня витрат на інформаційну безпеку. Цілком доречним є те, що етапи зростання та зрілості вимагають більшого фінансування на захист інформації, ніж інші. Адже, саме в ці періоди відбувається розквіт організації та нарощування конфіденційної інформації, яка потребує захисту.  </w:t>
      </w:r>
    </w:p>
    <w:p>
      <w:pPr>
        <w:pStyle w:val="style0"/>
        <w:spacing w:after="0" w:before="0" w:line="360" w:lineRule="auto"/>
        <w:ind w:firstLine="709" w:left="0" w:right="0"/>
        <w:jc w:val="both"/>
      </w:pPr>
      <w:r>
        <w:rPr>
          <w:rFonts w:ascii="Times New Roman" w:cs="Times New Roman" w:hAnsi="Times New Roman"/>
          <w:sz w:val="28"/>
          <w:szCs w:val="28"/>
          <w:lang w:val="uk-UA"/>
        </w:rPr>
        <w:t>Будь-який керівник підприємства при створенні системи (служби) інформаційної безпеки має оцінити, що йому це принесе та наскільки ефективні такі вкладення. Останнім часом значної популярності серед організацій набуває методика сукупної вартості володіння (Total Cost of Ownership) корпоративних систем захисту інформації, яка дає можливість відповісти на ряд питань, пов’язаних з інформаційною безпекою:</w:t>
      </w:r>
    </w:p>
    <w:p>
      <w:pPr>
        <w:pStyle w:val="style25"/>
        <w:numPr>
          <w:ilvl w:val="0"/>
          <w:numId w:val="1"/>
        </w:numPr>
        <w:spacing w:after="0" w:before="0" w:line="360" w:lineRule="auto"/>
        <w:jc w:val="both"/>
      </w:pPr>
      <w:r>
        <w:rPr>
          <w:rFonts w:ascii="Times New Roman" w:cs="Times New Roman" w:hAnsi="Times New Roman"/>
          <w:sz w:val="28"/>
          <w:szCs w:val="28"/>
          <w:lang w:val="uk-UA"/>
        </w:rPr>
        <w:t>чи є оптимальними витрати на захист інформації для компанії;</w:t>
      </w:r>
    </w:p>
    <w:p>
      <w:pPr>
        <w:pStyle w:val="style25"/>
        <w:numPr>
          <w:ilvl w:val="0"/>
          <w:numId w:val="1"/>
        </w:numPr>
        <w:spacing w:after="0" w:before="0" w:line="360" w:lineRule="auto"/>
        <w:jc w:val="both"/>
      </w:pPr>
      <w:r>
        <w:rPr>
          <w:rFonts w:ascii="Times New Roman" w:cs="Times New Roman" w:hAnsi="Times New Roman"/>
          <w:sz w:val="28"/>
          <w:szCs w:val="28"/>
          <w:lang w:val="uk-UA"/>
        </w:rPr>
        <w:t>які ресурси витрачаються на забезпечення інформаційної безпеки;</w:t>
      </w:r>
    </w:p>
    <w:p>
      <w:pPr>
        <w:pStyle w:val="style25"/>
        <w:numPr>
          <w:ilvl w:val="0"/>
          <w:numId w:val="1"/>
        </w:numPr>
        <w:spacing w:after="0" w:before="0" w:line="360" w:lineRule="auto"/>
        <w:jc w:val="both"/>
      </w:pPr>
      <w:r>
        <w:rPr>
          <w:rFonts w:ascii="Times New Roman" w:cs="Times New Roman" w:hAnsi="Times New Roman"/>
          <w:sz w:val="28"/>
          <w:szCs w:val="28"/>
          <w:lang w:val="uk-UA"/>
        </w:rPr>
        <w:t>якою є оптимальна структура служби інформаційної безпеки;</w:t>
      </w:r>
    </w:p>
    <w:p>
      <w:pPr>
        <w:pStyle w:val="style25"/>
        <w:numPr>
          <w:ilvl w:val="0"/>
          <w:numId w:val="1"/>
        </w:numPr>
        <w:spacing w:after="0" w:before="0" w:line="360" w:lineRule="auto"/>
        <w:jc w:val="both"/>
      </w:pPr>
      <w:r>
        <w:rPr>
          <w:rFonts w:ascii="Times New Roman" w:cs="Times New Roman" w:hAnsi="Times New Roman"/>
          <w:sz w:val="28"/>
          <w:szCs w:val="28"/>
          <w:lang w:val="uk-UA"/>
        </w:rPr>
        <w:t>як зробити інвестування у захист інформації ефективним;</w:t>
      </w:r>
    </w:p>
    <w:p>
      <w:pPr>
        <w:pStyle w:val="style25"/>
        <w:numPr>
          <w:ilvl w:val="0"/>
          <w:numId w:val="1"/>
        </w:numPr>
        <w:spacing w:after="0" w:before="0" w:line="360" w:lineRule="auto"/>
        <w:jc w:val="both"/>
      </w:pPr>
      <w:r>
        <w:rPr>
          <w:rFonts w:ascii="Times New Roman" w:cs="Times New Roman" w:hAnsi="Times New Roman"/>
          <w:sz w:val="28"/>
          <w:szCs w:val="28"/>
          <w:lang w:val="uk-UA"/>
        </w:rPr>
        <w:t>як правильно створити бюджет на інформаційну безпеку;</w:t>
      </w:r>
    </w:p>
    <w:p>
      <w:pPr>
        <w:pStyle w:val="style25"/>
        <w:numPr>
          <w:ilvl w:val="0"/>
          <w:numId w:val="1"/>
        </w:numPr>
        <w:spacing w:after="0" w:before="0" w:line="360" w:lineRule="auto"/>
        <w:jc w:val="both"/>
      </w:pPr>
      <w:r>
        <w:rPr>
          <w:rFonts w:ascii="Times New Roman" w:cs="Times New Roman" w:hAnsi="Times New Roman"/>
          <w:sz w:val="28"/>
          <w:szCs w:val="28"/>
          <w:lang w:val="uk-UA"/>
        </w:rPr>
        <w:t>наскільки ефективною є робота служби інформаційної безпеки організації у порівнянні з іншими компаніями тощо [2, 258].</w:t>
      </w:r>
    </w:p>
    <w:p>
      <w:pPr>
        <w:pStyle w:val="style0"/>
        <w:spacing w:after="0" w:before="0" w:line="360" w:lineRule="auto"/>
        <w:ind w:firstLine="709" w:left="0" w:right="0"/>
        <w:jc w:val="both"/>
      </w:pPr>
      <w:r>
        <w:rPr>
          <w:rFonts w:ascii="Times New Roman" w:cs="Times New Roman" w:hAnsi="Times New Roman"/>
          <w:sz w:val="28"/>
          <w:szCs w:val="28"/>
          <w:lang w:val="uk-UA"/>
        </w:rPr>
        <w:t>В свою чергу до затрат на інформаційну безпеку можна віднести наступне:</w:t>
      </w:r>
    </w:p>
    <w:p>
      <w:pPr>
        <w:pStyle w:val="style25"/>
        <w:numPr>
          <w:ilvl w:val="0"/>
          <w:numId w:val="1"/>
        </w:numPr>
        <w:spacing w:after="0" w:before="0" w:line="360" w:lineRule="auto"/>
        <w:jc w:val="both"/>
      </w:pPr>
      <w:r>
        <w:rPr>
          <w:rFonts w:ascii="Times New Roman" w:cs="Times New Roman" w:hAnsi="Times New Roman"/>
          <w:sz w:val="28"/>
          <w:szCs w:val="28"/>
          <w:lang w:val="uk-UA"/>
        </w:rPr>
        <w:t>організаційні витрати на формування та підтримку ланки управління, що відповідає за захист інформації;</w:t>
      </w:r>
    </w:p>
    <w:p>
      <w:pPr>
        <w:pStyle w:val="style25"/>
        <w:numPr>
          <w:ilvl w:val="0"/>
          <w:numId w:val="1"/>
        </w:numPr>
        <w:spacing w:after="0" w:before="0" w:line="360" w:lineRule="auto"/>
        <w:jc w:val="both"/>
      </w:pPr>
      <w:r>
        <w:rPr>
          <w:rFonts w:ascii="Times New Roman" w:cs="Times New Roman" w:hAnsi="Times New Roman"/>
          <w:sz w:val="28"/>
          <w:szCs w:val="28"/>
          <w:lang w:val="uk-UA"/>
        </w:rPr>
        <w:t xml:space="preserve">внутрішні та зовнішні витрати на ліквідацію наслідків порушення політики інформаційної безпеки; </w:t>
      </w:r>
    </w:p>
    <w:p>
      <w:pPr>
        <w:pStyle w:val="style25"/>
        <w:numPr>
          <w:ilvl w:val="0"/>
          <w:numId w:val="1"/>
        </w:numPr>
        <w:spacing w:after="0" w:before="0" w:line="360" w:lineRule="auto"/>
        <w:jc w:val="both"/>
      </w:pPr>
      <w:r>
        <w:rPr>
          <w:rFonts w:ascii="Times New Roman" w:cs="Times New Roman" w:hAnsi="Times New Roman"/>
          <w:sz w:val="28"/>
          <w:szCs w:val="28"/>
          <w:lang w:val="uk-UA"/>
        </w:rPr>
        <w:t>фінансування технічного обслуговування систем захисту інформації та попередження порушень політики безпеки організації;</w:t>
      </w:r>
    </w:p>
    <w:p>
      <w:pPr>
        <w:pStyle w:val="style25"/>
        <w:numPr>
          <w:ilvl w:val="0"/>
          <w:numId w:val="1"/>
        </w:numPr>
        <w:spacing w:after="0" w:before="0" w:line="360" w:lineRule="auto"/>
        <w:jc w:val="both"/>
      </w:pPr>
      <w:r>
        <w:rPr>
          <w:rFonts w:ascii="Times New Roman" w:cs="Times New Roman" w:hAnsi="Times New Roman"/>
          <w:sz w:val="28"/>
          <w:szCs w:val="28"/>
          <w:lang w:val="uk-UA"/>
        </w:rPr>
        <w:t xml:space="preserve">витрати на контроль щодо досягнення необхідного рівня захищеності </w:t>
      </w:r>
      <w:r>
        <w:rPr>
          <w:rFonts w:ascii="Times New Roman" w:cs="Times New Roman" w:hAnsi="Times New Roman"/>
          <w:sz w:val="28"/>
          <w:szCs w:val="28"/>
        </w:rPr>
        <w:t>[1</w:t>
      </w:r>
      <w:r>
        <w:rPr>
          <w:rFonts w:ascii="Times New Roman" w:cs="Times New Roman" w:hAnsi="Times New Roman"/>
          <w:sz w:val="28"/>
          <w:szCs w:val="28"/>
          <w:lang w:val="uk-UA"/>
        </w:rPr>
        <w:t>, 47-48</w:t>
      </w:r>
      <w:r>
        <w:rPr>
          <w:rFonts w:ascii="Times New Roman" w:cs="Times New Roman" w:hAnsi="Times New Roman"/>
          <w:sz w:val="28"/>
          <w:szCs w:val="28"/>
        </w:rPr>
        <w:t>]</w:t>
      </w:r>
      <w:r>
        <w:rPr>
          <w:rFonts w:ascii="Times New Roman" w:cs="Times New Roman" w:hAnsi="Times New Roman"/>
          <w:sz w:val="28"/>
          <w:szCs w:val="28"/>
          <w:lang w:val="uk-UA"/>
        </w:rPr>
        <w:t xml:space="preserve">. </w:t>
      </w:r>
    </w:p>
    <w:p>
      <w:pPr>
        <w:pStyle w:val="style0"/>
        <w:spacing w:after="0" w:before="0" w:line="360" w:lineRule="auto"/>
        <w:ind w:firstLine="709" w:left="0" w:right="0"/>
        <w:jc w:val="both"/>
      </w:pPr>
      <w:r>
        <w:rPr>
          <w:rFonts w:ascii="Times New Roman" w:cs="Times New Roman" w:hAnsi="Times New Roman"/>
          <w:sz w:val="28"/>
          <w:szCs w:val="28"/>
          <w:lang w:val="uk-UA"/>
        </w:rPr>
        <w:t xml:space="preserve">Окрім цього, витрати можуть бути одноразовими або постійними. До першого типу належать разові вклади у формування політики безпеки підприємства, до другого – усі витрати, що супроводжують процеси вдосконалення, модернізації та зміни обладнання чи способів забезпечення інформаційної безпеки. </w:t>
      </w:r>
    </w:p>
    <w:p>
      <w:pPr>
        <w:pStyle w:val="style0"/>
        <w:spacing w:after="0" w:before="0" w:line="360" w:lineRule="auto"/>
        <w:ind w:firstLine="709" w:left="0" w:right="0"/>
        <w:jc w:val="both"/>
      </w:pPr>
      <w:bookmarkStart w:id="0" w:name="_GoBack"/>
      <w:bookmarkEnd w:id="0"/>
      <w:r>
        <w:rPr>
          <w:rFonts w:ascii="Times New Roman" w:cs="Times New Roman" w:hAnsi="Times New Roman"/>
          <w:sz w:val="28"/>
          <w:szCs w:val="28"/>
          <w:lang w:val="uk-UA"/>
        </w:rPr>
        <w:t>Отже, можна зробити висновок, що економічний аспект забезпечення інформаційної безпеки організації слугує підґрунтям правових, технічних та соціальних заходів захисту інформації. Адже, без належного фінансування неможлива підтримка інформаційної безпеки. Однією з сучасних методик, що допомагає службі інформаційної безпеки краще управляти та зменшувати витрати та покращувати заходи захисту інформаційно-комунікаційних потоків організацій є методика сукупної вартості володіння корпоративних систем захисту інформації.</w:t>
      </w:r>
    </w:p>
    <w:p>
      <w:pPr>
        <w:pStyle w:val="style0"/>
        <w:spacing w:after="0" w:before="0" w:line="360" w:lineRule="auto"/>
        <w:ind w:firstLine="709" w:left="0" w:right="0"/>
        <w:jc w:val="both"/>
      </w:pPr>
      <w:r>
        <w:rPr>
          <w:rFonts w:ascii="Times New Roman" w:cs="Times New Roman" w:hAnsi="Times New Roman"/>
          <w:b/>
          <w:i/>
          <w:sz w:val="28"/>
          <w:szCs w:val="28"/>
          <w:lang w:val="uk-UA"/>
        </w:rPr>
        <w:t>Список використаних джерел:</w:t>
      </w:r>
    </w:p>
    <w:p>
      <w:pPr>
        <w:pStyle w:val="style25"/>
        <w:numPr>
          <w:ilvl w:val="0"/>
          <w:numId w:val="2"/>
        </w:numPr>
        <w:spacing w:after="0" w:before="0" w:line="360" w:lineRule="auto"/>
        <w:jc w:val="both"/>
      </w:pPr>
      <w:r>
        <w:rPr>
          <w:rFonts w:ascii="Times New Roman" w:cs="Times New Roman" w:hAnsi="Times New Roman"/>
          <w:sz w:val="28"/>
          <w:szCs w:val="28"/>
          <w:lang w:val="uk-UA"/>
        </w:rPr>
        <w:t>Войтик А. И., Прожерин В. Г. Экономика информационной безопасности: Учебное пособие. – СПб.: НИУ ИТМО, 2012. – 120 с.</w:t>
      </w:r>
    </w:p>
    <w:p>
      <w:pPr>
        <w:pStyle w:val="style25"/>
        <w:numPr>
          <w:ilvl w:val="0"/>
          <w:numId w:val="2"/>
        </w:numPr>
        <w:spacing w:line="360" w:lineRule="auto"/>
        <w:jc w:val="both"/>
      </w:pPr>
      <w:r>
        <w:rPr>
          <w:rFonts w:ascii="Times New Roman" w:cs="Times New Roman" w:hAnsi="Times New Roman"/>
          <w:sz w:val="28"/>
          <w:szCs w:val="28"/>
          <w:lang w:val="uk-UA"/>
        </w:rPr>
        <w:t>Петренко С. А. Управление информационными рисками. Экономически оправданная безопасность / Петренко С. А., Симонов С. В. –  М.: Компания АйТи ; ДМК Пресс, 2004. – 384 с.</w:t>
      </w:r>
    </w:p>
    <w:sectPr>
      <w:type w:val="nextPage"/>
      <w:pgSz w:h="16838" w:w="11906"/>
      <w:pgMar w:bottom="1134" w:footer="0" w:gutter="0" w:header="0" w:left="1134" w:right="1133" w:top="1134"/>
      <w:pgNumType w:fmt="decimal"/>
      <w:formProt w:val="false"/>
      <w:textDirection w:val="lrTb"/>
      <w:docGrid w:charSpace="4096"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Calibri">
    <w:charset w:val="80"/>
    <w:family w:val="roman"/>
    <w:pitch w:val="variable"/>
  </w:font>
  <w:font w:name="Times New Roman">
    <w:charset w:val="80"/>
    <w:family w:val="roman"/>
    <w:pitch w:val="default"/>
  </w:font>
  <w:font w:name="Courier New">
    <w:charset w:val="80"/>
    <w:family w:val="modern"/>
    <w:pitch w:val="fixed"/>
  </w:font>
  <w:font w:name="Wingdings">
    <w:charset w:val="02"/>
    <w:family w:val="auto"/>
    <w:pitch w:val="default"/>
  </w:font>
  <w:font w:name="Symbol">
    <w:charset w:val="02"/>
    <w:family w:val="auto"/>
    <w:pitch w:val="variable"/>
  </w:font>
</w:fonts>
</file>

<file path=word/numbering.xml><?xml version="1.0" encoding="utf-8"?>
<w:numbering xmlns:w="http://schemas.openxmlformats.org/wordprocessingml/2006/main">
  <w:abstractNum w:abstractNumId="1">
    <w:lvl w:ilvl="0">
      <w:start w:val="1"/>
      <w:numFmt w:val="bullet"/>
      <w:lvlText w:val="-"/>
      <w:lvlJc w:val="left"/>
      <w:pPr>
        <w:ind w:hanging="360" w:left="1069"/>
      </w:pPr>
      <w:rPr>
        <w:rFonts w:ascii="Times New Roman" w:cs="Times New Roman" w:hAnsi="Times New Roman" w:hint="default"/>
      </w:rPr>
    </w:lvl>
    <w:lvl w:ilvl="1">
      <w:start w:val="1"/>
      <w:numFmt w:val="bullet"/>
      <w:lvlText w:val="o"/>
      <w:lvlJc w:val="left"/>
      <w:pPr>
        <w:ind w:hanging="360" w:left="1789"/>
      </w:pPr>
      <w:rPr>
        <w:rFonts w:ascii="Courier New" w:cs="Courier New" w:hAnsi="Courier New" w:hint="default"/>
      </w:rPr>
    </w:lvl>
    <w:lvl w:ilvl="2">
      <w:start w:val="1"/>
      <w:numFmt w:val="bullet"/>
      <w:lvlText w:val=""/>
      <w:lvlJc w:val="left"/>
      <w:pPr>
        <w:ind w:hanging="360" w:left="2509"/>
      </w:pPr>
      <w:rPr>
        <w:rFonts w:ascii="Wingdings" w:cs="Wingdings" w:hAnsi="Wingdings" w:hint="default"/>
      </w:rPr>
    </w:lvl>
    <w:lvl w:ilvl="3">
      <w:start w:val="1"/>
      <w:numFmt w:val="bullet"/>
      <w:lvlText w:val=""/>
      <w:lvlJc w:val="left"/>
      <w:pPr>
        <w:ind w:hanging="360" w:left="3229"/>
      </w:pPr>
      <w:rPr>
        <w:rFonts w:ascii="Symbol" w:cs="Symbol" w:hAnsi="Symbol" w:hint="default"/>
      </w:rPr>
    </w:lvl>
    <w:lvl w:ilvl="4">
      <w:start w:val="1"/>
      <w:numFmt w:val="bullet"/>
      <w:lvlText w:val="o"/>
      <w:lvlJc w:val="left"/>
      <w:pPr>
        <w:ind w:hanging="360" w:left="3949"/>
      </w:pPr>
      <w:rPr>
        <w:rFonts w:ascii="Courier New" w:cs="Courier New" w:hAnsi="Courier New" w:hint="default"/>
      </w:rPr>
    </w:lvl>
    <w:lvl w:ilvl="5">
      <w:start w:val="1"/>
      <w:numFmt w:val="bullet"/>
      <w:lvlText w:val=""/>
      <w:lvlJc w:val="left"/>
      <w:pPr>
        <w:ind w:hanging="360" w:left="4669"/>
      </w:pPr>
      <w:rPr>
        <w:rFonts w:ascii="Wingdings" w:cs="Wingdings" w:hAnsi="Wingdings" w:hint="default"/>
      </w:rPr>
    </w:lvl>
    <w:lvl w:ilvl="6">
      <w:start w:val="1"/>
      <w:numFmt w:val="bullet"/>
      <w:lvlText w:val=""/>
      <w:lvlJc w:val="left"/>
      <w:pPr>
        <w:ind w:hanging="360" w:left="5389"/>
      </w:pPr>
      <w:rPr>
        <w:rFonts w:ascii="Symbol" w:cs="Symbol" w:hAnsi="Symbol" w:hint="default"/>
      </w:rPr>
    </w:lvl>
    <w:lvl w:ilvl="7">
      <w:start w:val="1"/>
      <w:numFmt w:val="bullet"/>
      <w:lvlText w:val="o"/>
      <w:lvlJc w:val="left"/>
      <w:pPr>
        <w:ind w:hanging="360" w:left="6109"/>
      </w:pPr>
      <w:rPr>
        <w:rFonts w:ascii="Courier New" w:cs="Courier New" w:hAnsi="Courier New" w:hint="default"/>
      </w:rPr>
    </w:lvl>
    <w:lvl w:ilvl="8">
      <w:start w:val="1"/>
      <w:numFmt w:val="bullet"/>
      <w:lvlText w:val=""/>
      <w:lvlJc w:val="left"/>
      <w:pPr>
        <w:ind w:hanging="360" w:left="6829"/>
      </w:pPr>
      <w:rPr>
        <w:rFonts w:ascii="Wingdings" w:cs="Wingdings" w:hAnsi="Wingdings" w:hint="default"/>
      </w:rPr>
    </w:lvl>
  </w:abstractNum>
  <w:abstractNum w:abstractNumId="2">
    <w:lvl w:ilvl="0">
      <w:start w:val="1"/>
      <w:numFmt w:val="decimal"/>
      <w:lvlText w:val="%1."/>
      <w:lvlJc w:val="left"/>
      <w:pPr>
        <w:ind w:hanging="360" w:left="1069"/>
      </w:pPr>
    </w:lvl>
    <w:lvl w:ilvl="1">
      <w:start w:val="1"/>
      <w:numFmt w:val="lowerLetter"/>
      <w:lvlText w:val="%2."/>
      <w:lvlJc w:val="left"/>
      <w:pPr>
        <w:ind w:hanging="360" w:left="1789"/>
      </w:pPr>
    </w:lvl>
    <w:lvl w:ilvl="2">
      <w:start w:val="1"/>
      <w:numFmt w:val="lowerRoman"/>
      <w:lvlText w:val="%3."/>
      <w:lvlJc w:val="right"/>
      <w:pPr>
        <w:ind w:hanging="180" w:left="2509"/>
      </w:pPr>
    </w:lvl>
    <w:lvl w:ilvl="3">
      <w:start w:val="1"/>
      <w:numFmt w:val="decimal"/>
      <w:lvlText w:val="%4."/>
      <w:lvlJc w:val="left"/>
      <w:pPr>
        <w:ind w:hanging="360" w:left="3229"/>
      </w:pPr>
    </w:lvl>
    <w:lvl w:ilvl="4">
      <w:start w:val="1"/>
      <w:numFmt w:val="lowerLetter"/>
      <w:lvlText w:val="%5."/>
      <w:lvlJc w:val="left"/>
      <w:pPr>
        <w:ind w:hanging="360" w:left="3949"/>
      </w:pPr>
    </w:lvl>
    <w:lvl w:ilvl="5">
      <w:start w:val="1"/>
      <w:numFmt w:val="lowerRoman"/>
      <w:lvlText w:val="%6."/>
      <w:lvlJc w:val="right"/>
      <w:pPr>
        <w:ind w:hanging="180" w:left="4669"/>
      </w:pPr>
    </w:lvl>
    <w:lvl w:ilvl="6">
      <w:start w:val="1"/>
      <w:numFmt w:val="decimal"/>
      <w:lvlText w:val="%7."/>
      <w:lvlJc w:val="left"/>
      <w:pPr>
        <w:ind w:hanging="360" w:left="5389"/>
      </w:pPr>
    </w:lvl>
    <w:lvl w:ilvl="7">
      <w:start w:val="1"/>
      <w:numFmt w:val="lowerLetter"/>
      <w:lvlText w:val="%8."/>
      <w:lvlJc w:val="left"/>
      <w:pPr>
        <w:ind w:hanging="360" w:left="6109"/>
      </w:pPr>
    </w:lvl>
    <w:lvl w:ilvl="8">
      <w:start w:val="1"/>
      <w:numFmt w:val="lowerRoman"/>
      <w:lvlText w:val="%9."/>
      <w:lvlJc w:val="right"/>
      <w:pPr>
        <w:ind w:hanging="180" w:left="6829"/>
      </w:pPr>
    </w:lvl>
  </w:abstractNum>
  <w:abstractNum w:abstractNumId="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bering>
</file>

<file path=word/styles.xml><?xml version="1.0" encoding="utf-8"?>
<w:styles xmlns:w="http://schemas.openxmlformats.org/wordprocessingml/2006/main">
  <w:style w:styleId="style0" w:type="paragraph">
    <w:name w:val="Базовый"/>
    <w:next w:val="style0"/>
    <w:pPr>
      <w:widowControl/>
      <w:tabs>
        <w:tab w:leader="none" w:pos="708" w:val="left"/>
      </w:tabs>
      <w:suppressAutoHyphens w:val="true"/>
      <w:spacing w:after="160" w:before="0" w:line="256" w:lineRule="auto"/>
    </w:pPr>
    <w:rPr>
      <w:rFonts w:ascii="Calibri" w:cs="" w:eastAsia="WenQuanYi Zen Hei" w:hAnsi="Calibri"/>
      <w:color w:val="auto"/>
      <w:sz w:val="22"/>
      <w:szCs w:val="22"/>
      <w:lang w:bidi="ar-SA" w:eastAsia="en-US" w:val="ru-RU"/>
    </w:rPr>
  </w:style>
  <w:style w:styleId="style15" w:type="character">
    <w:name w:val="Default Paragraph Font"/>
    <w:next w:val="style15"/>
    <w:rPr/>
  </w:style>
  <w:style w:styleId="style16" w:type="character">
    <w:name w:val="Интернет-ссылка"/>
    <w:basedOn w:val="style15"/>
    <w:next w:val="style16"/>
    <w:rPr>
      <w:color w:val="0563C1"/>
      <w:u w:val="single"/>
      <w:lang w:bidi="ru-RU" w:eastAsia="ru-RU" w:val="ru-RU"/>
    </w:rPr>
  </w:style>
  <w:style w:styleId="style17" w:type="character">
    <w:name w:val="FollowedHyperlink"/>
    <w:basedOn w:val="style15"/>
    <w:next w:val="style17"/>
    <w:rPr>
      <w:color w:val="954F72"/>
      <w:u w:val="single"/>
    </w:rPr>
  </w:style>
  <w:style w:styleId="style18" w:type="character">
    <w:name w:val="ListLabel 1"/>
    <w:next w:val="style18"/>
    <w:rPr>
      <w:rFonts w:cs="Times New Roman"/>
    </w:rPr>
  </w:style>
  <w:style w:styleId="style19" w:type="character">
    <w:name w:val="ListLabel 2"/>
    <w:next w:val="style19"/>
    <w:rPr>
      <w:rFonts w:cs="Courier New"/>
    </w:rPr>
  </w:style>
  <w:style w:styleId="style20" w:type="paragraph">
    <w:name w:val="Заголовок"/>
    <w:basedOn w:val="style0"/>
    <w:next w:val="style21"/>
    <w:pPr>
      <w:keepNext/>
      <w:spacing w:after="120" w:before="240"/>
    </w:pPr>
    <w:rPr>
      <w:rFonts w:ascii="Liberation Sans" w:cs="FreeSans" w:eastAsia="WenQuanYi Zen Hei" w:hAnsi="Liberation Sans"/>
      <w:sz w:val="28"/>
      <w:szCs w:val="28"/>
    </w:rPr>
  </w:style>
  <w:style w:styleId="style21" w:type="paragraph">
    <w:name w:val="Основной текст"/>
    <w:basedOn w:val="style0"/>
    <w:next w:val="style21"/>
    <w:pPr>
      <w:spacing w:after="120" w:before="0"/>
    </w:pPr>
    <w:rPr/>
  </w:style>
  <w:style w:styleId="style22" w:type="paragraph">
    <w:name w:val="Список"/>
    <w:basedOn w:val="style21"/>
    <w:next w:val="style22"/>
    <w:pPr/>
    <w:rPr>
      <w:rFonts w:cs="FreeSans"/>
    </w:rPr>
  </w:style>
  <w:style w:styleId="style23" w:type="paragraph">
    <w:name w:val="Название"/>
    <w:basedOn w:val="style0"/>
    <w:next w:val="style23"/>
    <w:pPr>
      <w:suppressLineNumbers/>
      <w:spacing w:after="120" w:before="120"/>
    </w:pPr>
    <w:rPr>
      <w:rFonts w:cs="FreeSans"/>
      <w:i/>
      <w:iCs/>
      <w:sz w:val="24"/>
      <w:szCs w:val="24"/>
    </w:rPr>
  </w:style>
  <w:style w:styleId="style24" w:type="paragraph">
    <w:name w:val="Указатель"/>
    <w:basedOn w:val="style0"/>
    <w:next w:val="style24"/>
    <w:pPr>
      <w:suppressLineNumbers/>
    </w:pPr>
    <w:rPr>
      <w:rFonts w:cs="FreeSans"/>
    </w:rPr>
  </w:style>
  <w:style w:styleId="style25" w:type="paragraph">
    <w:name w:val="List Paragraph"/>
    <w:basedOn w:val="style0"/>
    <w:next w:val="style25"/>
    <w:pPr>
      <w:ind w:hanging="0" w:left="720" w:right="0"/>
    </w:pPr>
    <w:rPr/>
  </w:style>
  <w:style w:styleId="style26" w:type="paragraph">
    <w:name w:val="List Bullet"/>
    <w:basedOn w:val="style0"/>
    <w:next w:val="style26"/>
    <w:pPr>
      <w:spacing w:after="60" w:before="0" w:line="100" w:lineRule="atLeast"/>
      <w:jc w:val="both"/>
    </w:pPr>
    <w:rPr>
      <w:rFonts w:ascii="Times New Roman" w:cs="Times New Roman" w:eastAsia="Times New Roman" w:hAnsi="Times New Roman"/>
      <w:sz w:val="24"/>
      <w:szCs w:val="24"/>
      <w:lang w:eastAsia="ru-RU"/>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Template>
  <TotalTime>321</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2015-10-01T07:15:00.00Z</dcterms:created>
  <dc:creator>user</dc:creator>
  <cp:lastModifiedBy>user</cp:lastModifiedBy>
  <dcterms:modified xsi:type="dcterms:W3CDTF">2015-10-15T19:19:00.00Z</dcterms:modified>
  <cp:revision>25</cp:revision>
</cp:coreProperties>
</file>